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02EF" w14:textId="3A20DF4E" w:rsidR="00B13933" w:rsidRDefault="00762399" w:rsidP="00DD4A56">
      <w:pPr>
        <w:pStyle w:val="Kop1"/>
        <w:pBdr>
          <w:bottom w:val="single" w:sz="4" w:space="1" w:color="auto"/>
        </w:pBdr>
        <w:rPr>
          <w:rFonts w:ascii="Verdana" w:hAnsi="Verdana"/>
          <w:sz w:val="20"/>
        </w:rPr>
      </w:pPr>
      <w:r w:rsidRPr="004474AB">
        <w:rPr>
          <w:rFonts w:ascii="Verdana" w:hAnsi="Verdana"/>
          <w:sz w:val="20"/>
        </w:rPr>
        <w:t>Clausuletekst</w:t>
      </w:r>
      <w:r w:rsidR="00B13933">
        <w:rPr>
          <w:rFonts w:ascii="Verdana" w:hAnsi="Verdana"/>
          <w:sz w:val="20"/>
        </w:rPr>
        <w:t>en</w:t>
      </w:r>
      <w:r w:rsidRPr="004474AB">
        <w:rPr>
          <w:rFonts w:ascii="Verdana" w:hAnsi="Verdana"/>
          <w:sz w:val="20"/>
        </w:rPr>
        <w:t xml:space="preserve"> </w:t>
      </w:r>
      <w:r w:rsidR="002426BF">
        <w:rPr>
          <w:rFonts w:ascii="Verdana" w:hAnsi="Verdana"/>
          <w:sz w:val="20"/>
        </w:rPr>
        <w:t>(NL, ENG en DE) bij de</w:t>
      </w:r>
    </w:p>
    <w:p w14:paraId="5269C7DE" w14:textId="45C0E92B" w:rsidR="00762399" w:rsidRPr="004474AB" w:rsidRDefault="006046FF" w:rsidP="00DD4A56">
      <w:pPr>
        <w:pStyle w:val="Kop1"/>
        <w:pBdr>
          <w:bottom w:val="single" w:sz="4" w:space="1" w:color="auto"/>
        </w:pBdr>
        <w:rPr>
          <w:rFonts w:ascii="Verdana" w:hAnsi="Verdana"/>
          <w:sz w:val="20"/>
        </w:rPr>
      </w:pPr>
      <w:r w:rsidRPr="004474AB">
        <w:rPr>
          <w:rFonts w:ascii="Verdana" w:hAnsi="Verdana"/>
          <w:sz w:val="20"/>
        </w:rPr>
        <w:t xml:space="preserve">Algemene Teken- en Engineeringsvoorwaarden </w:t>
      </w:r>
      <w:r w:rsidR="00762399" w:rsidRPr="004474AB">
        <w:rPr>
          <w:rFonts w:ascii="Verdana" w:hAnsi="Verdana"/>
          <w:sz w:val="20"/>
        </w:rPr>
        <w:t>20</w:t>
      </w:r>
      <w:r w:rsidR="00EE1EE2" w:rsidRPr="004474AB">
        <w:rPr>
          <w:rFonts w:ascii="Verdana" w:hAnsi="Verdana"/>
          <w:sz w:val="20"/>
        </w:rPr>
        <w:t>2</w:t>
      </w:r>
      <w:r w:rsidRPr="004474AB">
        <w:rPr>
          <w:rFonts w:ascii="Verdana" w:hAnsi="Verdana"/>
          <w:sz w:val="20"/>
        </w:rPr>
        <w:t>2</w:t>
      </w:r>
    </w:p>
    <w:p w14:paraId="3F256DD5" w14:textId="77777777" w:rsidR="00AF7482" w:rsidRPr="004474AB" w:rsidRDefault="00AF7482" w:rsidP="00AF7482">
      <w:pPr>
        <w:jc w:val="both"/>
        <w:rPr>
          <w:rFonts w:ascii="Verdana" w:hAnsi="Verdana"/>
          <w:b/>
          <w:sz w:val="20"/>
        </w:rPr>
      </w:pPr>
    </w:p>
    <w:p w14:paraId="19F36A95" w14:textId="77777777" w:rsidR="008A2D36" w:rsidRPr="004474AB" w:rsidRDefault="008A2D36" w:rsidP="00AF7482">
      <w:pPr>
        <w:jc w:val="both"/>
        <w:rPr>
          <w:rFonts w:ascii="Verdana" w:hAnsi="Verdana"/>
          <w:sz w:val="20"/>
        </w:rPr>
      </w:pPr>
    </w:p>
    <w:p w14:paraId="2A4CA6AE" w14:textId="2857EC3D" w:rsidR="00AF7482" w:rsidRPr="004474AB" w:rsidRDefault="00AF7482" w:rsidP="00AF7482">
      <w:pPr>
        <w:jc w:val="both"/>
        <w:rPr>
          <w:rFonts w:ascii="Verdana" w:hAnsi="Verdana"/>
          <w:sz w:val="20"/>
        </w:rPr>
      </w:pPr>
      <w:r w:rsidRPr="004474AB">
        <w:rPr>
          <w:rFonts w:ascii="Verdana" w:hAnsi="Verdana"/>
          <w:sz w:val="20"/>
        </w:rPr>
        <w:t xml:space="preserve">In de offerte </w:t>
      </w:r>
      <w:r w:rsidR="00095A6B">
        <w:rPr>
          <w:rFonts w:ascii="Verdana" w:hAnsi="Verdana"/>
          <w:sz w:val="20"/>
        </w:rPr>
        <w:t xml:space="preserve">of opdrachtbevestiging </w:t>
      </w:r>
      <w:r w:rsidRPr="004474AB">
        <w:rPr>
          <w:rFonts w:ascii="Verdana" w:hAnsi="Verdana"/>
          <w:sz w:val="20"/>
        </w:rPr>
        <w:t>kunt u</w:t>
      </w:r>
      <w:r w:rsidR="00705F32" w:rsidRPr="004474AB">
        <w:rPr>
          <w:rFonts w:ascii="Verdana" w:hAnsi="Verdana"/>
          <w:sz w:val="20"/>
        </w:rPr>
        <w:t xml:space="preserve"> de volgende clausuletekst</w:t>
      </w:r>
      <w:r w:rsidRPr="004474AB">
        <w:rPr>
          <w:rFonts w:ascii="Verdana" w:hAnsi="Verdana"/>
          <w:sz w:val="20"/>
        </w:rPr>
        <w:t xml:space="preserve"> opnemen:</w:t>
      </w:r>
    </w:p>
    <w:p w14:paraId="59A31ECD" w14:textId="03E0BA74" w:rsidR="00AF7482" w:rsidRDefault="00AF7482" w:rsidP="00AF7482">
      <w:pPr>
        <w:jc w:val="both"/>
        <w:rPr>
          <w:rFonts w:ascii="Verdana" w:hAnsi="Verdana"/>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0"/>
      </w:tblGrid>
      <w:tr w:rsidR="00747D2E" w14:paraId="54BE7D61" w14:textId="77777777" w:rsidTr="001633DA">
        <w:tc>
          <w:tcPr>
            <w:tcW w:w="1560" w:type="dxa"/>
            <w:shd w:val="clear" w:color="auto" w:fill="D9D9D9" w:themeFill="background1" w:themeFillShade="D9"/>
          </w:tcPr>
          <w:p w14:paraId="16974269" w14:textId="5DCCD588" w:rsidR="00747D2E" w:rsidRPr="001633DA" w:rsidRDefault="00747D2E" w:rsidP="00AF7482">
            <w:pPr>
              <w:jc w:val="both"/>
              <w:rPr>
                <w:rFonts w:ascii="Verdana" w:hAnsi="Verdana"/>
                <w:b/>
                <w:bCs/>
                <w:sz w:val="20"/>
              </w:rPr>
            </w:pPr>
            <w:r w:rsidRPr="001633DA">
              <w:rPr>
                <w:rFonts w:ascii="Verdana" w:hAnsi="Verdana"/>
                <w:b/>
                <w:bCs/>
                <w:sz w:val="20"/>
              </w:rPr>
              <w:t>Nederlands</w:t>
            </w:r>
          </w:p>
        </w:tc>
        <w:tc>
          <w:tcPr>
            <w:tcW w:w="7500" w:type="dxa"/>
          </w:tcPr>
          <w:p w14:paraId="62E5CF13" w14:textId="396CEB12" w:rsidR="000A121A" w:rsidRPr="000A121A" w:rsidRDefault="000A121A" w:rsidP="000A121A">
            <w:pPr>
              <w:jc w:val="both"/>
              <w:rPr>
                <w:rFonts w:ascii="Verdana" w:hAnsi="Verdana"/>
                <w:i/>
                <w:iCs/>
                <w:sz w:val="20"/>
              </w:rPr>
            </w:pPr>
            <w:r w:rsidRPr="000A121A">
              <w:rPr>
                <w:rFonts w:ascii="Verdana" w:hAnsi="Verdana" w:cs="Arial"/>
                <w:i/>
                <w:iCs/>
                <w:color w:val="000000"/>
                <w:sz w:val="20"/>
              </w:rPr>
              <w:t xml:space="preserve">Onze </w:t>
            </w:r>
            <w:r w:rsidRPr="000A121A">
              <w:rPr>
                <w:rFonts w:ascii="Verdana" w:hAnsi="Verdana"/>
                <w:i/>
                <w:iCs/>
                <w:sz w:val="20"/>
              </w:rPr>
              <w:t xml:space="preserve">Algemene Teken- en Engineeringsvoorwaarden 2022 zijn van toepassing op </w:t>
            </w:r>
            <w:r w:rsidRPr="000A121A">
              <w:rPr>
                <w:rFonts w:ascii="Verdana" w:hAnsi="Verdana" w:cs="Arial"/>
                <w:i/>
                <w:iCs/>
                <w:color w:val="000000"/>
                <w:sz w:val="20"/>
              </w:rPr>
              <w:t xml:space="preserve">alle aanbiedingen </w:t>
            </w:r>
            <w:r w:rsidRPr="000A121A">
              <w:rPr>
                <w:rFonts w:ascii="Verdana" w:hAnsi="Verdana" w:cs="Arial"/>
                <w:i/>
                <w:iCs/>
                <w:sz w:val="20"/>
              </w:rPr>
              <w:t xml:space="preserve">die wij </w:t>
            </w:r>
            <w:r w:rsidRPr="000A121A">
              <w:rPr>
                <w:rFonts w:ascii="Verdana" w:hAnsi="Verdana" w:cs="Arial"/>
                <w:i/>
                <w:iCs/>
                <w:color w:val="000000"/>
                <w:sz w:val="20"/>
              </w:rPr>
              <w:t xml:space="preserve">doen, </w:t>
            </w:r>
            <w:r w:rsidRPr="000A121A">
              <w:rPr>
                <w:rFonts w:ascii="Verdana" w:hAnsi="Verdana" w:cs="Arial"/>
                <w:i/>
                <w:iCs/>
                <w:sz w:val="20"/>
              </w:rPr>
              <w:t xml:space="preserve">op alle overeenkomsten die wij sluiten </w:t>
            </w:r>
            <w:r w:rsidRPr="000A121A">
              <w:rPr>
                <w:rFonts w:ascii="Verdana" w:hAnsi="Verdana" w:cs="Arial"/>
                <w:i/>
                <w:iCs/>
                <w:color w:val="000000"/>
                <w:sz w:val="20"/>
              </w:rPr>
              <w:t>en op alle overeenkomsten die hieruit voortvloeien, een en ander voor zover die aanbiedingen of overeenkomsten betrekking hebben op de uitvoering van teken- of engineeringswerkzaamheden.</w:t>
            </w:r>
          </w:p>
          <w:p w14:paraId="43DB7258" w14:textId="77777777" w:rsidR="00747D2E" w:rsidRDefault="00747D2E" w:rsidP="00AF7482">
            <w:pPr>
              <w:jc w:val="both"/>
              <w:rPr>
                <w:rFonts w:ascii="Verdana" w:hAnsi="Verdana"/>
                <w:sz w:val="20"/>
              </w:rPr>
            </w:pPr>
          </w:p>
        </w:tc>
      </w:tr>
      <w:tr w:rsidR="00747D2E" w14:paraId="10E2D706" w14:textId="77777777" w:rsidTr="001633DA">
        <w:tc>
          <w:tcPr>
            <w:tcW w:w="1560" w:type="dxa"/>
            <w:shd w:val="clear" w:color="auto" w:fill="D9D9D9" w:themeFill="background1" w:themeFillShade="D9"/>
          </w:tcPr>
          <w:p w14:paraId="2ADCD55F" w14:textId="451BD6B3" w:rsidR="00747D2E" w:rsidRPr="001633DA" w:rsidRDefault="00747D2E" w:rsidP="00AF7482">
            <w:pPr>
              <w:jc w:val="both"/>
              <w:rPr>
                <w:rFonts w:ascii="Verdana" w:hAnsi="Verdana"/>
                <w:b/>
                <w:bCs/>
                <w:sz w:val="20"/>
              </w:rPr>
            </w:pPr>
            <w:r w:rsidRPr="001633DA">
              <w:rPr>
                <w:rFonts w:ascii="Verdana" w:hAnsi="Verdana"/>
                <w:b/>
                <w:bCs/>
                <w:sz w:val="20"/>
              </w:rPr>
              <w:t>Engels</w:t>
            </w:r>
          </w:p>
        </w:tc>
        <w:tc>
          <w:tcPr>
            <w:tcW w:w="7500" w:type="dxa"/>
          </w:tcPr>
          <w:p w14:paraId="2C553761" w14:textId="77777777" w:rsidR="00747D2E" w:rsidRDefault="000A121A" w:rsidP="00AF7482">
            <w:pPr>
              <w:jc w:val="both"/>
              <w:rPr>
                <w:rFonts w:ascii="Verdana" w:hAnsi="Verdana"/>
                <w:i/>
                <w:iCs/>
                <w:sz w:val="20"/>
                <w:lang w:val="en-US"/>
              </w:rPr>
            </w:pPr>
            <w:r w:rsidRPr="000A121A">
              <w:rPr>
                <w:rFonts w:ascii="Verdana" w:hAnsi="Verdana"/>
                <w:i/>
                <w:iCs/>
                <w:sz w:val="20"/>
                <w:lang w:val="en-US"/>
              </w:rPr>
              <w:t>Our General Terms and Conditions for Drawing and Engineering Work 2022 apply to our offers, orders placed with us and contracts concluded with us, insofar as these offers or contracts relate to the execution of drawing or engineering work.</w:t>
            </w:r>
          </w:p>
          <w:p w14:paraId="74F25CE6" w14:textId="37ED795A" w:rsidR="000A121A" w:rsidRDefault="000A121A" w:rsidP="00AF7482">
            <w:pPr>
              <w:jc w:val="both"/>
              <w:rPr>
                <w:rFonts w:ascii="Verdana" w:hAnsi="Verdana"/>
                <w:sz w:val="20"/>
              </w:rPr>
            </w:pPr>
          </w:p>
        </w:tc>
      </w:tr>
      <w:tr w:rsidR="00747D2E" w14:paraId="7B0A65CE" w14:textId="77777777" w:rsidTr="001633DA">
        <w:tc>
          <w:tcPr>
            <w:tcW w:w="1560" w:type="dxa"/>
            <w:shd w:val="clear" w:color="auto" w:fill="D9D9D9" w:themeFill="background1" w:themeFillShade="D9"/>
          </w:tcPr>
          <w:p w14:paraId="695FB135" w14:textId="479F4E9B" w:rsidR="00747D2E" w:rsidRPr="001633DA" w:rsidRDefault="00747D2E" w:rsidP="00AF7482">
            <w:pPr>
              <w:jc w:val="both"/>
              <w:rPr>
                <w:rFonts w:ascii="Verdana" w:hAnsi="Verdana"/>
                <w:b/>
                <w:bCs/>
                <w:sz w:val="20"/>
              </w:rPr>
            </w:pPr>
            <w:r w:rsidRPr="001633DA">
              <w:rPr>
                <w:rFonts w:ascii="Verdana" w:hAnsi="Verdana"/>
                <w:b/>
                <w:bCs/>
                <w:sz w:val="20"/>
              </w:rPr>
              <w:t>Duits</w:t>
            </w:r>
          </w:p>
        </w:tc>
        <w:tc>
          <w:tcPr>
            <w:tcW w:w="7500" w:type="dxa"/>
          </w:tcPr>
          <w:p w14:paraId="44045E68" w14:textId="6B5BCE01" w:rsidR="000A121A" w:rsidRDefault="000A121A" w:rsidP="000A121A">
            <w:pPr>
              <w:jc w:val="both"/>
              <w:rPr>
                <w:rFonts w:ascii="Verdana" w:hAnsi="Verdana"/>
                <w:i/>
                <w:iCs/>
                <w:sz w:val="20"/>
              </w:rPr>
            </w:pPr>
            <w:r>
              <w:rPr>
                <w:rFonts w:ascii="Verdana" w:hAnsi="Verdana"/>
                <w:i/>
                <w:iCs/>
                <w:sz w:val="20"/>
              </w:rPr>
              <w:t>U</w:t>
            </w:r>
            <w:r w:rsidRPr="004474AB">
              <w:rPr>
                <w:rFonts w:ascii="Verdana" w:hAnsi="Verdana"/>
                <w:i/>
                <w:iCs/>
                <w:sz w:val="20"/>
              </w:rPr>
              <w:t xml:space="preserve">nsere Algemeinen </w:t>
            </w:r>
            <w:r>
              <w:rPr>
                <w:rFonts w:ascii="Verdana" w:hAnsi="Verdana"/>
                <w:i/>
                <w:iCs/>
                <w:sz w:val="20"/>
              </w:rPr>
              <w:t xml:space="preserve">Bedingungen für Zeichen- und Engineeringsarbeiten 2022 finden Anwendung auf </w:t>
            </w:r>
            <w:r w:rsidRPr="004474AB">
              <w:rPr>
                <w:rFonts w:ascii="Verdana" w:hAnsi="Verdana"/>
                <w:i/>
                <w:iCs/>
                <w:sz w:val="20"/>
              </w:rPr>
              <w:t>unsere Angebote, an uns erteilte Aufträge und mit uns geschlossene Verträge</w:t>
            </w:r>
            <w:r>
              <w:rPr>
                <w:rFonts w:ascii="Verdana" w:hAnsi="Verdana"/>
                <w:i/>
                <w:iCs/>
                <w:sz w:val="20"/>
              </w:rPr>
              <w:t xml:space="preserve">, </w:t>
            </w:r>
            <w:r w:rsidRPr="000A121A">
              <w:rPr>
                <w:rFonts w:ascii="Verdana" w:hAnsi="Verdana"/>
                <w:i/>
                <w:iCs/>
                <w:sz w:val="20"/>
              </w:rPr>
              <w:t xml:space="preserve">soweit sich diese Angebote oder Verträge auf die Ausführung der </w:t>
            </w:r>
            <w:r>
              <w:rPr>
                <w:rFonts w:ascii="Verdana" w:hAnsi="Verdana"/>
                <w:i/>
                <w:iCs/>
                <w:sz w:val="20"/>
              </w:rPr>
              <w:t xml:space="preserve">Zeichen- oder Engineeringsarbeiten </w:t>
            </w:r>
            <w:r w:rsidRPr="000A121A">
              <w:rPr>
                <w:rFonts w:ascii="Verdana" w:hAnsi="Verdana"/>
                <w:i/>
                <w:iCs/>
                <w:sz w:val="20"/>
              </w:rPr>
              <w:t>beziehen.</w:t>
            </w:r>
            <w:r w:rsidRPr="004474AB">
              <w:rPr>
                <w:rFonts w:ascii="Verdana" w:hAnsi="Verdana"/>
                <w:i/>
                <w:iCs/>
                <w:sz w:val="20"/>
              </w:rPr>
              <w:t xml:space="preserve"> </w:t>
            </w:r>
          </w:p>
          <w:p w14:paraId="171E28A8" w14:textId="76A6A31B" w:rsidR="000A121A" w:rsidRPr="00747D2E" w:rsidRDefault="000A121A" w:rsidP="00AF7482">
            <w:pPr>
              <w:jc w:val="both"/>
              <w:rPr>
                <w:rFonts w:ascii="Verdana" w:hAnsi="Verdana"/>
                <w:i/>
                <w:iCs/>
                <w:sz w:val="20"/>
              </w:rPr>
            </w:pPr>
          </w:p>
        </w:tc>
      </w:tr>
    </w:tbl>
    <w:p w14:paraId="5F5DABA9" w14:textId="77777777" w:rsidR="00747D2E" w:rsidRPr="004474AB" w:rsidRDefault="00747D2E" w:rsidP="00AF7482">
      <w:pPr>
        <w:jc w:val="both"/>
        <w:rPr>
          <w:rFonts w:ascii="Verdana" w:hAnsi="Verdana"/>
          <w:sz w:val="20"/>
        </w:rPr>
      </w:pPr>
    </w:p>
    <w:p w14:paraId="58602461" w14:textId="77777777" w:rsidR="00FA184B" w:rsidRDefault="00FA184B" w:rsidP="00997300">
      <w:pPr>
        <w:rPr>
          <w:rFonts w:ascii="Verdana" w:hAnsi="Verdana"/>
          <w:sz w:val="20"/>
        </w:rPr>
      </w:pPr>
    </w:p>
    <w:p w14:paraId="5882829E" w14:textId="495E5DE0" w:rsidR="00AF7482" w:rsidRPr="004474AB" w:rsidRDefault="00997300" w:rsidP="00997300">
      <w:pPr>
        <w:rPr>
          <w:rFonts w:ascii="Verdana" w:hAnsi="Verdana"/>
          <w:i/>
          <w:sz w:val="20"/>
        </w:rPr>
      </w:pPr>
      <w:r w:rsidRPr="004474AB">
        <w:rPr>
          <w:rFonts w:ascii="Verdana" w:hAnsi="Verdana"/>
          <w:sz w:val="20"/>
        </w:rPr>
        <w:t xml:space="preserve">Het is daarnaast verstandig om in de offerte </w:t>
      </w:r>
      <w:r w:rsidR="00AF5531">
        <w:rPr>
          <w:rFonts w:ascii="Verdana" w:hAnsi="Verdana"/>
          <w:sz w:val="20"/>
        </w:rPr>
        <w:t xml:space="preserve">of opdrachtbevestiging </w:t>
      </w:r>
      <w:r w:rsidRPr="004474AB">
        <w:rPr>
          <w:rFonts w:ascii="Verdana" w:hAnsi="Verdana"/>
          <w:sz w:val="20"/>
        </w:rPr>
        <w:t>zelf te vermelden dat de</w:t>
      </w:r>
      <w:r w:rsidR="00A45FA8">
        <w:rPr>
          <w:rFonts w:ascii="Verdana" w:hAnsi="Verdana"/>
          <w:sz w:val="20"/>
        </w:rPr>
        <w:t xml:space="preserve"> Algemene</w:t>
      </w:r>
      <w:r w:rsidRPr="004474AB">
        <w:rPr>
          <w:rFonts w:ascii="Verdana" w:hAnsi="Verdana"/>
          <w:sz w:val="20"/>
        </w:rPr>
        <w:t xml:space="preserve"> </w:t>
      </w:r>
      <w:r w:rsidR="004474AB">
        <w:rPr>
          <w:rFonts w:ascii="Verdana" w:hAnsi="Verdana"/>
          <w:sz w:val="20"/>
        </w:rPr>
        <w:t>Teken- en Engineeringsvoorwaarden</w:t>
      </w:r>
      <w:r w:rsidRPr="004474AB">
        <w:rPr>
          <w:rFonts w:ascii="Verdana" w:hAnsi="Verdana"/>
          <w:sz w:val="20"/>
        </w:rPr>
        <w:t xml:space="preserve"> als bijlage zijn meegezonden</w:t>
      </w:r>
      <w:r w:rsidR="00E6407A" w:rsidRPr="004474AB">
        <w:rPr>
          <w:rFonts w:ascii="Verdana" w:hAnsi="Verdana"/>
          <w:sz w:val="20"/>
        </w:rPr>
        <w:t>:</w:t>
      </w:r>
    </w:p>
    <w:p w14:paraId="21D9D70B" w14:textId="76F02933" w:rsidR="00AF7482" w:rsidRDefault="00AF7482" w:rsidP="00AC0516">
      <w:pPr>
        <w:rPr>
          <w:rFonts w:ascii="Verdana" w:hAnsi="Verdana"/>
          <w:i/>
          <w:sz w:val="20"/>
        </w:rPr>
      </w:pPr>
    </w:p>
    <w:p w14:paraId="76698DB3" w14:textId="4A6DF5C0" w:rsidR="00747D2E" w:rsidRDefault="00747D2E" w:rsidP="00AC0516">
      <w:pPr>
        <w:rPr>
          <w:rFonts w:ascii="Verdana" w:hAnsi="Verdana"/>
          <w:i/>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0"/>
      </w:tblGrid>
      <w:tr w:rsidR="00747D2E" w14:paraId="6CA9DED7" w14:textId="77777777" w:rsidTr="001633DA">
        <w:tc>
          <w:tcPr>
            <w:tcW w:w="1560" w:type="dxa"/>
            <w:shd w:val="clear" w:color="auto" w:fill="D9D9D9" w:themeFill="background1" w:themeFillShade="D9"/>
          </w:tcPr>
          <w:p w14:paraId="11C77EDF" w14:textId="77777777" w:rsidR="00747D2E" w:rsidRPr="001633DA" w:rsidRDefault="00747D2E" w:rsidP="009F02E0">
            <w:pPr>
              <w:jc w:val="both"/>
              <w:rPr>
                <w:rFonts w:ascii="Verdana" w:hAnsi="Verdana"/>
                <w:b/>
                <w:bCs/>
                <w:sz w:val="20"/>
              </w:rPr>
            </w:pPr>
            <w:r w:rsidRPr="001633DA">
              <w:rPr>
                <w:rFonts w:ascii="Verdana" w:hAnsi="Verdana"/>
                <w:b/>
                <w:bCs/>
                <w:sz w:val="20"/>
              </w:rPr>
              <w:t>Nederlands</w:t>
            </w:r>
          </w:p>
        </w:tc>
        <w:tc>
          <w:tcPr>
            <w:tcW w:w="7500" w:type="dxa"/>
          </w:tcPr>
          <w:p w14:paraId="217A505E" w14:textId="2B7CCE90" w:rsidR="00747D2E" w:rsidRPr="004474AB" w:rsidRDefault="00747D2E" w:rsidP="00747D2E">
            <w:pPr>
              <w:rPr>
                <w:rFonts w:ascii="Verdana" w:hAnsi="Verdana"/>
                <w:i/>
                <w:sz w:val="20"/>
              </w:rPr>
            </w:pPr>
            <w:r w:rsidRPr="004474AB">
              <w:rPr>
                <w:rFonts w:ascii="Verdana" w:hAnsi="Verdana"/>
                <w:i/>
                <w:sz w:val="20"/>
              </w:rPr>
              <w:t>Onze</w:t>
            </w:r>
            <w:r>
              <w:rPr>
                <w:rFonts w:ascii="Verdana" w:hAnsi="Verdana"/>
                <w:i/>
                <w:sz w:val="20"/>
              </w:rPr>
              <w:t xml:space="preserve"> Algemene Teken- en Engin</w:t>
            </w:r>
            <w:r w:rsidR="00116778">
              <w:rPr>
                <w:rFonts w:ascii="Verdana" w:hAnsi="Verdana"/>
                <w:i/>
                <w:sz w:val="20"/>
              </w:rPr>
              <w:t>ee</w:t>
            </w:r>
            <w:r>
              <w:rPr>
                <w:rFonts w:ascii="Verdana" w:hAnsi="Verdana"/>
                <w:i/>
                <w:sz w:val="20"/>
              </w:rPr>
              <w:t>ringsvoorwaarden 2022</w:t>
            </w:r>
            <w:r w:rsidRPr="004474AB">
              <w:rPr>
                <w:rFonts w:ascii="Verdana" w:hAnsi="Verdana"/>
                <w:i/>
                <w:sz w:val="20"/>
              </w:rPr>
              <w:t xml:space="preserve"> zijn als bijlage bij deze brief/e-mail/fax</w:t>
            </w:r>
            <w:r w:rsidR="00116778" w:rsidRPr="00116778">
              <w:rPr>
                <w:rFonts w:ascii="Verdana" w:hAnsi="Verdana"/>
                <w:b/>
                <w:bCs/>
                <w:i/>
                <w:sz w:val="20"/>
              </w:rPr>
              <w:t>*</w:t>
            </w:r>
            <w:r w:rsidRPr="004474AB">
              <w:rPr>
                <w:rFonts w:ascii="Verdana" w:hAnsi="Verdana"/>
                <w:i/>
                <w:sz w:val="20"/>
              </w:rPr>
              <w:t xml:space="preserve"> meegezonden.</w:t>
            </w:r>
          </w:p>
          <w:p w14:paraId="16CDB51D" w14:textId="77777777" w:rsidR="00747D2E" w:rsidRDefault="00747D2E" w:rsidP="009F02E0">
            <w:pPr>
              <w:jc w:val="both"/>
              <w:rPr>
                <w:rFonts w:ascii="Verdana" w:hAnsi="Verdana"/>
                <w:sz w:val="20"/>
              </w:rPr>
            </w:pPr>
          </w:p>
        </w:tc>
      </w:tr>
      <w:tr w:rsidR="00747D2E" w14:paraId="3BD91CF8" w14:textId="77777777" w:rsidTr="001633DA">
        <w:tc>
          <w:tcPr>
            <w:tcW w:w="1560" w:type="dxa"/>
            <w:shd w:val="clear" w:color="auto" w:fill="D9D9D9" w:themeFill="background1" w:themeFillShade="D9"/>
          </w:tcPr>
          <w:p w14:paraId="4BD6DEFB" w14:textId="77777777" w:rsidR="00747D2E" w:rsidRPr="001633DA" w:rsidRDefault="00747D2E" w:rsidP="009F02E0">
            <w:pPr>
              <w:jc w:val="both"/>
              <w:rPr>
                <w:rFonts w:ascii="Verdana" w:hAnsi="Verdana"/>
                <w:b/>
                <w:bCs/>
                <w:sz w:val="20"/>
              </w:rPr>
            </w:pPr>
            <w:r w:rsidRPr="001633DA">
              <w:rPr>
                <w:rFonts w:ascii="Verdana" w:hAnsi="Verdana"/>
                <w:b/>
                <w:bCs/>
                <w:sz w:val="20"/>
              </w:rPr>
              <w:t>Engels</w:t>
            </w:r>
          </w:p>
        </w:tc>
        <w:tc>
          <w:tcPr>
            <w:tcW w:w="7500" w:type="dxa"/>
          </w:tcPr>
          <w:p w14:paraId="33C60130" w14:textId="755AE8E9" w:rsidR="00747D2E" w:rsidRPr="004474AB" w:rsidRDefault="00747D2E" w:rsidP="00747D2E">
            <w:pPr>
              <w:rPr>
                <w:rFonts w:ascii="Verdana" w:hAnsi="Verdana"/>
                <w:i/>
                <w:iCs/>
                <w:sz w:val="20"/>
                <w:lang w:val="en-GB"/>
              </w:rPr>
            </w:pPr>
            <w:r w:rsidRPr="004474AB">
              <w:rPr>
                <w:rFonts w:ascii="Verdana" w:hAnsi="Verdana"/>
                <w:i/>
                <w:iCs/>
                <w:sz w:val="20"/>
                <w:lang w:val="en-GB"/>
              </w:rPr>
              <w:t xml:space="preserve">Our </w:t>
            </w:r>
            <w:r>
              <w:rPr>
                <w:rFonts w:ascii="Verdana" w:hAnsi="Verdana"/>
                <w:i/>
                <w:iCs/>
                <w:sz w:val="20"/>
                <w:lang w:val="en-GB"/>
              </w:rPr>
              <w:t xml:space="preserve">General Drafting and Engineering Conditions 2022 </w:t>
            </w:r>
            <w:r w:rsidRPr="004474AB">
              <w:rPr>
                <w:rFonts w:ascii="Verdana" w:hAnsi="Verdana"/>
                <w:i/>
                <w:iCs/>
                <w:sz w:val="20"/>
                <w:lang w:val="en-GB"/>
              </w:rPr>
              <w:t>are attached to this letter/email/fax</w:t>
            </w:r>
            <w:r w:rsidR="00116778" w:rsidRPr="00116778">
              <w:rPr>
                <w:rFonts w:ascii="Verdana" w:hAnsi="Verdana"/>
                <w:b/>
                <w:bCs/>
                <w:i/>
                <w:iCs/>
                <w:sz w:val="20"/>
                <w:lang w:val="en-GB"/>
              </w:rPr>
              <w:t>*</w:t>
            </w:r>
            <w:r w:rsidRPr="004474AB">
              <w:rPr>
                <w:rFonts w:ascii="Verdana" w:hAnsi="Verdana"/>
                <w:i/>
                <w:iCs/>
                <w:sz w:val="20"/>
                <w:lang w:val="en-GB"/>
              </w:rPr>
              <w:t>.</w:t>
            </w:r>
          </w:p>
          <w:p w14:paraId="4C1424EB" w14:textId="77777777" w:rsidR="00747D2E" w:rsidRDefault="00747D2E" w:rsidP="009F02E0">
            <w:pPr>
              <w:jc w:val="both"/>
              <w:rPr>
                <w:rFonts w:ascii="Verdana" w:hAnsi="Verdana"/>
                <w:sz w:val="20"/>
              </w:rPr>
            </w:pPr>
          </w:p>
        </w:tc>
      </w:tr>
      <w:tr w:rsidR="00747D2E" w14:paraId="6F34AF59" w14:textId="77777777" w:rsidTr="001633DA">
        <w:tc>
          <w:tcPr>
            <w:tcW w:w="1560" w:type="dxa"/>
            <w:shd w:val="clear" w:color="auto" w:fill="D9D9D9" w:themeFill="background1" w:themeFillShade="D9"/>
          </w:tcPr>
          <w:p w14:paraId="13392885" w14:textId="77777777" w:rsidR="00747D2E" w:rsidRPr="001633DA" w:rsidRDefault="00747D2E" w:rsidP="009F02E0">
            <w:pPr>
              <w:jc w:val="both"/>
              <w:rPr>
                <w:rFonts w:ascii="Verdana" w:hAnsi="Verdana"/>
                <w:b/>
                <w:bCs/>
                <w:sz w:val="20"/>
              </w:rPr>
            </w:pPr>
            <w:r w:rsidRPr="001633DA">
              <w:rPr>
                <w:rFonts w:ascii="Verdana" w:hAnsi="Verdana"/>
                <w:b/>
                <w:bCs/>
                <w:sz w:val="20"/>
              </w:rPr>
              <w:t>Duits</w:t>
            </w:r>
          </w:p>
        </w:tc>
        <w:tc>
          <w:tcPr>
            <w:tcW w:w="7500" w:type="dxa"/>
          </w:tcPr>
          <w:p w14:paraId="2C1BCE30" w14:textId="3BA637F1" w:rsidR="00747D2E" w:rsidRPr="004474AB" w:rsidRDefault="00747D2E" w:rsidP="00747D2E">
            <w:pPr>
              <w:rPr>
                <w:rFonts w:ascii="Verdana" w:hAnsi="Verdana"/>
                <w:i/>
                <w:iCs/>
                <w:sz w:val="20"/>
              </w:rPr>
            </w:pPr>
            <w:r w:rsidRPr="004474AB">
              <w:rPr>
                <w:rFonts w:ascii="Verdana" w:hAnsi="Verdana"/>
                <w:i/>
                <w:iCs/>
                <w:sz w:val="20"/>
                <w:lang w:val="de-DE"/>
              </w:rPr>
              <w:t>Unsere</w:t>
            </w:r>
            <w:r>
              <w:rPr>
                <w:rFonts w:ascii="Verdana" w:hAnsi="Verdana"/>
                <w:i/>
                <w:iCs/>
                <w:sz w:val="20"/>
                <w:lang w:val="de-DE"/>
              </w:rPr>
              <w:t xml:space="preserve"> </w:t>
            </w:r>
            <w:r w:rsidRPr="004474AB">
              <w:rPr>
                <w:rFonts w:ascii="Verdana" w:hAnsi="Verdana"/>
                <w:i/>
                <w:iCs/>
                <w:sz w:val="20"/>
              </w:rPr>
              <w:t xml:space="preserve">Algemeinen </w:t>
            </w:r>
            <w:r>
              <w:rPr>
                <w:rFonts w:ascii="Verdana" w:hAnsi="Verdana"/>
                <w:i/>
                <w:iCs/>
                <w:sz w:val="20"/>
              </w:rPr>
              <w:t xml:space="preserve">Bedingungen für Zeichen- und Engineeringsarbeiten 2022 </w:t>
            </w:r>
            <w:r w:rsidRPr="004474AB">
              <w:rPr>
                <w:rFonts w:ascii="Verdana" w:hAnsi="Verdana"/>
                <w:i/>
                <w:iCs/>
                <w:sz w:val="20"/>
                <w:lang w:val="de-DE"/>
              </w:rPr>
              <w:t>sind diesem Schreiben/dieser E-Mail/diesem Fax</w:t>
            </w:r>
            <w:r w:rsidR="00116778" w:rsidRPr="00116778">
              <w:rPr>
                <w:rFonts w:ascii="Verdana" w:hAnsi="Verdana"/>
                <w:b/>
                <w:bCs/>
                <w:i/>
                <w:iCs/>
                <w:sz w:val="20"/>
                <w:lang w:val="de-DE"/>
              </w:rPr>
              <w:t>*</w:t>
            </w:r>
            <w:r w:rsidRPr="004474AB">
              <w:rPr>
                <w:rFonts w:ascii="Verdana" w:hAnsi="Verdana"/>
                <w:i/>
                <w:iCs/>
                <w:sz w:val="20"/>
                <w:lang w:val="de-DE"/>
              </w:rPr>
              <w:t xml:space="preserve"> als Anlage beigefügt.</w:t>
            </w:r>
          </w:p>
          <w:p w14:paraId="12D4224D" w14:textId="06ACBEAE" w:rsidR="00747D2E" w:rsidRPr="00747D2E" w:rsidRDefault="00747D2E" w:rsidP="009F02E0">
            <w:pPr>
              <w:jc w:val="both"/>
              <w:rPr>
                <w:rFonts w:ascii="Verdana" w:hAnsi="Verdana"/>
                <w:i/>
                <w:iCs/>
                <w:sz w:val="20"/>
              </w:rPr>
            </w:pPr>
          </w:p>
        </w:tc>
      </w:tr>
    </w:tbl>
    <w:p w14:paraId="7779ABFA" w14:textId="72BCF7C8" w:rsidR="00747D2E" w:rsidRDefault="00747D2E" w:rsidP="00AC0516">
      <w:pPr>
        <w:rPr>
          <w:rFonts w:ascii="Verdana" w:hAnsi="Verdana"/>
          <w:i/>
          <w:sz w:val="20"/>
        </w:rPr>
      </w:pPr>
    </w:p>
    <w:p w14:paraId="567AAEB0" w14:textId="3B8C79AB" w:rsidR="00116778" w:rsidRDefault="00116778" w:rsidP="00AC0516">
      <w:pPr>
        <w:rPr>
          <w:rFonts w:ascii="Verdana" w:hAnsi="Verdana"/>
          <w:i/>
          <w:sz w:val="20"/>
        </w:rPr>
      </w:pPr>
    </w:p>
    <w:p w14:paraId="172465E6" w14:textId="6A10EF7F" w:rsidR="00116778" w:rsidRPr="00116778" w:rsidRDefault="00116778" w:rsidP="00AC0516">
      <w:pPr>
        <w:rPr>
          <w:rFonts w:ascii="Verdana" w:hAnsi="Verdana"/>
          <w:b/>
          <w:bCs/>
          <w:iCs/>
          <w:sz w:val="20"/>
        </w:rPr>
      </w:pPr>
      <w:r w:rsidRPr="00116778">
        <w:rPr>
          <w:rFonts w:ascii="Verdana" w:hAnsi="Verdana"/>
          <w:b/>
          <w:bCs/>
          <w:i/>
          <w:sz w:val="20"/>
        </w:rPr>
        <w:t xml:space="preserve">*= </w:t>
      </w:r>
      <w:r w:rsidRPr="00116778">
        <w:rPr>
          <w:rFonts w:ascii="Verdana" w:hAnsi="Verdana"/>
          <w:b/>
          <w:bCs/>
          <w:iCs/>
          <w:sz w:val="20"/>
        </w:rPr>
        <w:t>hier een keuze maken</w:t>
      </w:r>
    </w:p>
    <w:p w14:paraId="20A8048C" w14:textId="77777777" w:rsidR="00AC0516" w:rsidRPr="004474AB" w:rsidRDefault="00AC0516" w:rsidP="00AC0516">
      <w:pPr>
        <w:rPr>
          <w:sz w:val="20"/>
        </w:rPr>
      </w:pPr>
    </w:p>
    <w:p w14:paraId="381CA970" w14:textId="215EFADE" w:rsidR="00707D96" w:rsidRDefault="00707D96" w:rsidP="00AF7482">
      <w:pPr>
        <w:jc w:val="both"/>
        <w:rPr>
          <w:rFonts w:ascii="Verdana" w:hAnsi="Verdana"/>
          <w:sz w:val="20"/>
          <w:lang w:val="en-GB"/>
        </w:rPr>
      </w:pPr>
    </w:p>
    <w:p w14:paraId="7FD6FC54" w14:textId="77777777" w:rsidR="00F743A5" w:rsidRPr="004474AB" w:rsidRDefault="00F743A5" w:rsidP="00AF7482">
      <w:pPr>
        <w:jc w:val="both"/>
        <w:rPr>
          <w:rFonts w:ascii="Verdana" w:hAnsi="Verdana"/>
          <w:sz w:val="20"/>
          <w:lang w:val="en-GB"/>
        </w:rPr>
      </w:pPr>
    </w:p>
    <w:sectPr w:rsidR="00F743A5" w:rsidRPr="004474AB" w:rsidSect="000B26E2">
      <w:pgSz w:w="11906" w:h="16838" w:code="9"/>
      <w:pgMar w:top="1418" w:right="1418" w:bottom="851" w:left="1418" w:header="709" w:footer="709" w:gutter="0"/>
      <w:paperSrc w:first="258" w:other="25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A652" w14:textId="77777777" w:rsidR="00B47BF2" w:rsidRDefault="00B47BF2">
      <w:r>
        <w:separator/>
      </w:r>
    </w:p>
  </w:endnote>
  <w:endnote w:type="continuationSeparator" w:id="0">
    <w:p w14:paraId="1FC81B19" w14:textId="77777777" w:rsidR="00B47BF2" w:rsidRDefault="00B4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42C7" w14:textId="77777777" w:rsidR="00B47BF2" w:rsidRDefault="00B47BF2">
      <w:r>
        <w:separator/>
      </w:r>
    </w:p>
  </w:footnote>
  <w:footnote w:type="continuationSeparator" w:id="0">
    <w:p w14:paraId="144D4ECA" w14:textId="77777777" w:rsidR="00B47BF2" w:rsidRDefault="00B47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8FB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33285B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E4781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ED6617B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AA875C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C935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0A34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B847C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225B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9F4FE2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2A95C2E"/>
    <w:multiLevelType w:val="multilevel"/>
    <w:tmpl w:val="2826A7AE"/>
    <w:lvl w:ilvl="0">
      <w:start w:val="1"/>
      <w:numFmt w:val="decimal"/>
      <w:lvlText w:val="%1."/>
      <w:lvlJc w:val="left"/>
      <w:pPr>
        <w:ind w:left="390" w:hanging="39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11" w15:restartNumberingAfterBreak="0">
    <w:nsid w:val="76C532D3"/>
    <w:multiLevelType w:val="hybridMultilevel"/>
    <w:tmpl w:val="4FBEAAE6"/>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16cid:durableId="1849561865">
    <w:abstractNumId w:val="9"/>
  </w:num>
  <w:num w:numId="2" w16cid:durableId="1197161687">
    <w:abstractNumId w:val="7"/>
  </w:num>
  <w:num w:numId="3" w16cid:durableId="375785152">
    <w:abstractNumId w:val="6"/>
  </w:num>
  <w:num w:numId="4" w16cid:durableId="555893137">
    <w:abstractNumId w:val="5"/>
  </w:num>
  <w:num w:numId="5" w16cid:durableId="2021618681">
    <w:abstractNumId w:val="4"/>
  </w:num>
  <w:num w:numId="6" w16cid:durableId="432825190">
    <w:abstractNumId w:val="8"/>
  </w:num>
  <w:num w:numId="7" w16cid:durableId="1711300346">
    <w:abstractNumId w:val="3"/>
  </w:num>
  <w:num w:numId="8" w16cid:durableId="1413578425">
    <w:abstractNumId w:val="2"/>
  </w:num>
  <w:num w:numId="9" w16cid:durableId="1692414812">
    <w:abstractNumId w:val="1"/>
  </w:num>
  <w:num w:numId="10" w16cid:durableId="578445382">
    <w:abstractNumId w:val="0"/>
  </w:num>
  <w:num w:numId="11" w16cid:durableId="1726374188">
    <w:abstractNumId w:val="11"/>
  </w:num>
  <w:num w:numId="12" w16cid:durableId="1490559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74"/>
    <w:rsid w:val="00021E1F"/>
    <w:rsid w:val="000370DD"/>
    <w:rsid w:val="00041090"/>
    <w:rsid w:val="00070E59"/>
    <w:rsid w:val="00095A6B"/>
    <w:rsid w:val="000A121A"/>
    <w:rsid w:val="000B26E2"/>
    <w:rsid w:val="00116778"/>
    <w:rsid w:val="001633DA"/>
    <w:rsid w:val="001A1179"/>
    <w:rsid w:val="002426BF"/>
    <w:rsid w:val="002B6821"/>
    <w:rsid w:val="002D7E11"/>
    <w:rsid w:val="004474AB"/>
    <w:rsid w:val="00482B74"/>
    <w:rsid w:val="00541EFF"/>
    <w:rsid w:val="00556B55"/>
    <w:rsid w:val="005A0512"/>
    <w:rsid w:val="00602F1D"/>
    <w:rsid w:val="006046FF"/>
    <w:rsid w:val="006176CB"/>
    <w:rsid w:val="00617BC3"/>
    <w:rsid w:val="006419B9"/>
    <w:rsid w:val="00655398"/>
    <w:rsid w:val="006A0B3D"/>
    <w:rsid w:val="00705F32"/>
    <w:rsid w:val="00707D96"/>
    <w:rsid w:val="00747D2E"/>
    <w:rsid w:val="00762399"/>
    <w:rsid w:val="00772F61"/>
    <w:rsid w:val="007A1673"/>
    <w:rsid w:val="0081536E"/>
    <w:rsid w:val="008619D6"/>
    <w:rsid w:val="008A2D36"/>
    <w:rsid w:val="008F7FB8"/>
    <w:rsid w:val="00925028"/>
    <w:rsid w:val="00997300"/>
    <w:rsid w:val="009E1C0B"/>
    <w:rsid w:val="009E4B7B"/>
    <w:rsid w:val="00A45FA8"/>
    <w:rsid w:val="00AC0516"/>
    <w:rsid w:val="00AD2CD4"/>
    <w:rsid w:val="00AF5531"/>
    <w:rsid w:val="00AF7482"/>
    <w:rsid w:val="00B13933"/>
    <w:rsid w:val="00B47BF2"/>
    <w:rsid w:val="00BE26B4"/>
    <w:rsid w:val="00C34AD5"/>
    <w:rsid w:val="00C55188"/>
    <w:rsid w:val="00C8027E"/>
    <w:rsid w:val="00CE6570"/>
    <w:rsid w:val="00DB6DC7"/>
    <w:rsid w:val="00DD4A56"/>
    <w:rsid w:val="00E6407A"/>
    <w:rsid w:val="00EE1EE2"/>
    <w:rsid w:val="00EE390A"/>
    <w:rsid w:val="00EE46FB"/>
    <w:rsid w:val="00F3567C"/>
    <w:rsid w:val="00F743A5"/>
    <w:rsid w:val="00F90637"/>
    <w:rsid w:val="00FA1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B21E7"/>
  <w15:chartTrackingRefBased/>
  <w15:docId w15:val="{A42A90D8-6B15-4A5C-B631-C565D1C9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G Times" w:hAnsi="CG Times"/>
      <w:sz w:val="24"/>
    </w:rPr>
  </w:style>
  <w:style w:type="paragraph" w:styleId="Kop1">
    <w:name w:val="heading 1"/>
    <w:basedOn w:val="Standaard"/>
    <w:next w:val="Standaard"/>
    <w:link w:val="Kop1Char"/>
    <w:qFormat/>
    <w:pPr>
      <w:keepNext/>
      <w:jc w:val="center"/>
      <w:outlineLvl w:val="0"/>
    </w:pPr>
    <w:rPr>
      <w:b/>
      <w:sz w:val="22"/>
    </w:rPr>
  </w:style>
  <w:style w:type="paragraph" w:styleId="Kop2">
    <w:name w:val="heading 2"/>
    <w:basedOn w:val="Standaard"/>
    <w:next w:val="Standaard"/>
    <w:qFormat/>
    <w:pPr>
      <w:keepNext/>
      <w:spacing w:before="240" w:after="60"/>
      <w:outlineLvl w:val="1"/>
    </w:pPr>
    <w:rPr>
      <w:rFonts w:ascii="Arial" w:hAnsi="Arial"/>
      <w:b/>
      <w:i/>
    </w:rPr>
  </w:style>
  <w:style w:type="paragraph" w:styleId="Kop3">
    <w:name w:val="heading 3"/>
    <w:basedOn w:val="Standaard"/>
    <w:next w:val="Standaard"/>
    <w:qFormat/>
    <w:pPr>
      <w:keepNext/>
      <w:spacing w:before="240" w:after="60"/>
      <w:outlineLvl w:val="2"/>
    </w:pPr>
    <w:rPr>
      <w:rFonts w:ascii="Arial" w:hAnsi="Arial"/>
    </w:rPr>
  </w:style>
  <w:style w:type="paragraph" w:styleId="Kop4">
    <w:name w:val="heading 4"/>
    <w:basedOn w:val="Standaard"/>
    <w:next w:val="Standaard"/>
    <w:qFormat/>
    <w:pPr>
      <w:keepNext/>
      <w:spacing w:before="240" w:after="60"/>
      <w:outlineLvl w:val="3"/>
    </w:pPr>
    <w:rPr>
      <w:rFonts w:ascii="Arial" w:hAnsi="Arial"/>
      <w:b/>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i/>
      <w:sz w:val="22"/>
    </w:rPr>
  </w:style>
  <w:style w:type="paragraph" w:styleId="Kop7">
    <w:name w:val="heading 7"/>
    <w:basedOn w:val="Standaard"/>
    <w:next w:val="Standaard"/>
    <w:qFormat/>
    <w:pPr>
      <w:spacing w:before="240" w:after="60"/>
      <w:outlineLvl w:val="6"/>
    </w:pPr>
    <w:rPr>
      <w:rFonts w:ascii="Arial" w:hAnsi="Arial"/>
      <w:sz w:val="20"/>
    </w:rPr>
  </w:style>
  <w:style w:type="paragraph" w:styleId="Kop8">
    <w:name w:val="heading 8"/>
    <w:basedOn w:val="Standaard"/>
    <w:next w:val="Standaard"/>
    <w:qFormat/>
    <w:pPr>
      <w:spacing w:before="240" w:after="60"/>
      <w:outlineLvl w:val="7"/>
    </w:pPr>
    <w:rPr>
      <w:rFonts w:ascii="Arial" w:hAnsi="Arial"/>
      <w:i/>
      <w:sz w:val="20"/>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Titel">
    <w:name w:val="Title"/>
    <w:basedOn w:val="Standaard"/>
    <w:qFormat/>
    <w:pPr>
      <w:jc w:val="center"/>
    </w:pPr>
    <w:rPr>
      <w:b/>
      <w:sz w:val="22"/>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40" w:hanging="24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80" w:hanging="48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Voetnoottekst">
    <w:name w:val="footnote text"/>
    <w:basedOn w:val="Standaard"/>
    <w:semiHidden/>
    <w:rPr>
      <w:sz w:val="20"/>
    </w:rPr>
  </w:style>
  <w:style w:type="paragraph" w:styleId="Ballontekst">
    <w:name w:val="Balloon Text"/>
    <w:basedOn w:val="Standaard"/>
    <w:semiHidden/>
    <w:rsid w:val="00482B74"/>
    <w:rPr>
      <w:rFonts w:ascii="Tahoma" w:hAnsi="Tahoma" w:cs="Tahoma"/>
      <w:sz w:val="16"/>
      <w:szCs w:val="16"/>
    </w:rPr>
  </w:style>
  <w:style w:type="character" w:styleId="Hyperlink">
    <w:name w:val="Hyperlink"/>
    <w:rsid w:val="00AF7482"/>
    <w:rPr>
      <w:color w:val="0000FF"/>
      <w:u w:val="single"/>
    </w:rPr>
  </w:style>
  <w:style w:type="paragraph" w:styleId="Geenafstand">
    <w:name w:val="No Spacing"/>
    <w:uiPriority w:val="1"/>
    <w:qFormat/>
    <w:rsid w:val="00AF7482"/>
    <w:rPr>
      <w:rFonts w:ascii="CG Times (W1)" w:hAnsi="CG Times (W1)"/>
      <w:sz w:val="24"/>
    </w:rPr>
  </w:style>
  <w:style w:type="character" w:customStyle="1" w:styleId="Kop1Char">
    <w:name w:val="Kop 1 Char"/>
    <w:link w:val="Kop1"/>
    <w:rsid w:val="00762399"/>
    <w:rPr>
      <w:rFonts w:ascii="CG Times" w:hAnsi="CG Times"/>
      <w:b/>
      <w:sz w:val="22"/>
    </w:rPr>
  </w:style>
  <w:style w:type="paragraph" w:styleId="Lijstalinea">
    <w:name w:val="List Paragraph"/>
    <w:basedOn w:val="Standaard"/>
    <w:uiPriority w:val="34"/>
    <w:qFormat/>
    <w:rsid w:val="006046FF"/>
    <w:pPr>
      <w:ind w:left="720"/>
      <w:contextualSpacing/>
    </w:pPr>
    <w:rPr>
      <w:rFonts w:ascii="Times New Roman" w:hAnsi="Times New Roman"/>
    </w:rPr>
  </w:style>
  <w:style w:type="table" w:styleId="Tabelraster">
    <w:name w:val="Table Grid"/>
    <w:basedOn w:val="Standaardtabel"/>
    <w:rsid w:val="0074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8966">
      <w:bodyDiv w:val="1"/>
      <w:marLeft w:val="0"/>
      <w:marRight w:val="0"/>
      <w:marTop w:val="0"/>
      <w:marBottom w:val="0"/>
      <w:divBdr>
        <w:top w:val="none" w:sz="0" w:space="0" w:color="auto"/>
        <w:left w:val="none" w:sz="0" w:space="0" w:color="auto"/>
        <w:bottom w:val="none" w:sz="0" w:space="0" w:color="auto"/>
        <w:right w:val="none" w:sz="0" w:space="0" w:color="auto"/>
      </w:divBdr>
      <w:divsChild>
        <w:div w:id="669405363">
          <w:marLeft w:val="0"/>
          <w:marRight w:val="0"/>
          <w:marTop w:val="0"/>
          <w:marBottom w:val="0"/>
          <w:divBdr>
            <w:top w:val="none" w:sz="0" w:space="0" w:color="auto"/>
            <w:left w:val="none" w:sz="0" w:space="0" w:color="auto"/>
            <w:bottom w:val="none" w:sz="0" w:space="0" w:color="auto"/>
            <w:right w:val="none" w:sz="0" w:space="0" w:color="auto"/>
          </w:divBdr>
        </w:div>
        <w:div w:id="1800226982">
          <w:marLeft w:val="0"/>
          <w:marRight w:val="0"/>
          <w:marTop w:val="0"/>
          <w:marBottom w:val="0"/>
          <w:divBdr>
            <w:top w:val="none" w:sz="0" w:space="0" w:color="auto"/>
            <w:left w:val="none" w:sz="0" w:space="0" w:color="auto"/>
            <w:bottom w:val="none" w:sz="0" w:space="0" w:color="auto"/>
            <w:right w:val="none" w:sz="0" w:space="0" w:color="auto"/>
          </w:divBdr>
        </w:div>
        <w:div w:id="2064519553">
          <w:marLeft w:val="0"/>
          <w:marRight w:val="0"/>
          <w:marTop w:val="0"/>
          <w:marBottom w:val="0"/>
          <w:divBdr>
            <w:top w:val="none" w:sz="0" w:space="0" w:color="auto"/>
            <w:left w:val="none" w:sz="0" w:space="0" w:color="auto"/>
            <w:bottom w:val="none" w:sz="0" w:space="0" w:color="auto"/>
            <w:right w:val="none" w:sz="0" w:space="0" w:color="auto"/>
          </w:divBdr>
        </w:div>
      </w:divsChild>
    </w:div>
    <w:div w:id="6443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219</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Op al onze offertes, op alle opdrachten aan ons en op alle met ons gesloten overeen-kom-sten zijn toepasselijk de METAALUNIEVOORWAARDEN, zoals deze luiden volgens de op de achterzij-de afgedrukte tekst</vt:lpstr>
    </vt:vector>
  </TitlesOfParts>
  <Company>MB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al onze offertes, op alle opdrachten aan ons en op alle met ons gesloten overeen-kom-sten zijn toepasselijk de METAALUNIEVOORWAARDEN, zoals deze luiden volgens de op de achterzij-de afgedrukte tekst</dc:title>
  <dc:subject/>
  <dc:creator>Margreet van der Wouden</dc:creator>
  <cp:keywords/>
  <cp:lastModifiedBy>Grootendorst, Heleen</cp:lastModifiedBy>
  <cp:revision>23</cp:revision>
  <cp:lastPrinted>2005-03-15T11:30:00Z</cp:lastPrinted>
  <dcterms:created xsi:type="dcterms:W3CDTF">2022-04-25T07:06:00Z</dcterms:created>
  <dcterms:modified xsi:type="dcterms:W3CDTF">2022-04-25T08:04:00Z</dcterms:modified>
</cp:coreProperties>
</file>